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BF24F0" w:rsidRPr="00BF24F0" w:rsidTr="00BF24F0">
        <w:tc>
          <w:tcPr>
            <w:tcW w:w="9750" w:type="dxa"/>
            <w:vAlign w:val="center"/>
            <w:hideMark/>
          </w:tcPr>
          <w:tbl>
            <w:tblPr>
              <w:tblW w:w="975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</w:tblGrid>
            <w:tr w:rsidR="00BF24F0" w:rsidRPr="00BF24F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49"/>
                  </w:tblGrid>
                  <w:tr w:rsidR="00BF24F0" w:rsidRPr="00BF24F0" w:rsidTr="00BF24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750" w:type="dxa"/>
                          <w:tblBorders>
                            <w:top w:val="outset" w:sz="6" w:space="0" w:color="C5CDD2"/>
                            <w:left w:val="outset" w:sz="6" w:space="0" w:color="C5CDD2"/>
                            <w:bottom w:val="outset" w:sz="6" w:space="0" w:color="C5CDD2"/>
                            <w:right w:val="outset" w:sz="6" w:space="0" w:color="C5CDD2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5181"/>
                          <w:gridCol w:w="4569"/>
                        </w:tblGrid>
                        <w:tr w:rsidR="00BF24F0" w:rsidRPr="00BF24F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shd w:val="clear" w:color="auto" w:fill="DDE6ED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F24F0" w:rsidRPr="00BF24F0" w:rsidRDefault="00BF24F0" w:rsidP="00BF24F0">
                              <w:pPr>
                                <w:rPr>
                                  <w:lang w:val="en-US"/>
                                </w:rPr>
                              </w:pPr>
                              <w:r w:rsidRPr="00BF24F0">
                                <w:t>Общие характеристики</w:t>
                              </w: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  <w:r>
                                <w:t xml:space="preserve">тестера </w:t>
                              </w:r>
                              <w:r>
                                <w:rPr>
                                  <w:lang w:val="en-US"/>
                                </w:rPr>
                                <w:t>Fluke 1000FLT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3270" w:type="dxa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Максимальный выход при тестировании лампы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3000</w:t>
                              </w:r>
                              <w:proofErr w:type="gramStart"/>
                              <w:r w:rsidRPr="00BF24F0">
                                <w:t xml:space="preserve"> В</w:t>
                              </w:r>
                              <w:proofErr w:type="gramEnd"/>
                              <w:r w:rsidRPr="00BF24F0">
                                <w:t xml:space="preserve"> пиковое значение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Тестирование балластного сопротивления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20 кГц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Дискриминатор типа балластного сопротивления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расстояние ≤3 м (10 футов)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Тестирование целостности контактов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&lt; 1 кΩ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NCV (Детектор напряжения™)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от 85 до 400</w:t>
                              </w:r>
                              <w:proofErr w:type="gramStart"/>
                              <w:r w:rsidRPr="00BF24F0">
                                <w:t xml:space="preserve"> В</w:t>
                              </w:r>
                              <w:proofErr w:type="gramEnd"/>
                              <w:r w:rsidRPr="00BF24F0">
                                <w:t xml:space="preserve"> </w:t>
                              </w:r>
                              <w:proofErr w:type="spellStart"/>
                              <w:r w:rsidRPr="00BF24F0">
                                <w:t>перем</w:t>
                              </w:r>
                              <w:proofErr w:type="spellEnd"/>
                              <w:r w:rsidRPr="00BF24F0">
                                <w:t>. тока</w:t>
                              </w:r>
                              <w:r w:rsidRPr="00BF24F0">
                                <w:br/>
                                <w:t>от 45 до 67 Гц</w:t>
                              </w:r>
                              <w:r w:rsidRPr="00BF24F0">
                                <w:br/>
                                <w:t>расстояние ≤10 см (4 дюйма)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shd w:val="clear" w:color="auto" w:fill="DDE6ED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Характеристики условий эксплуатации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Температура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proofErr w:type="gramStart"/>
                              <w:r w:rsidRPr="00BF24F0">
                                <w:t>Рабочая</w:t>
                              </w:r>
                              <w:proofErr w:type="gramEnd"/>
                              <w:r w:rsidRPr="00BF24F0">
                                <w:t>: от -10 °C до +50 °C (от 14 °F до +122 °F)</w:t>
                              </w:r>
                              <w:r w:rsidRPr="00BF24F0">
                                <w:br/>
                                <w:t>Хранения: от -40 °C до +60 °C (от -40 °F до +140 °F)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Относительная влажность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не более 85%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shd w:val="clear" w:color="auto" w:fill="DDE6ED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Спецификации безопасности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Степень защиты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IEC 61010-1, степень загрязнения 2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shd w:val="clear" w:color="auto" w:fill="DDE6ED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Механические и общие характеристики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Габариты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 xml:space="preserve">21,5 см </w:t>
                              </w:r>
                              <w:proofErr w:type="spellStart"/>
                              <w:r w:rsidRPr="00BF24F0">
                                <w:t>x</w:t>
                              </w:r>
                              <w:proofErr w:type="spellEnd"/>
                              <w:r w:rsidRPr="00BF24F0">
                                <w:t xml:space="preserve"> 3,0 см </w:t>
                              </w:r>
                              <w:proofErr w:type="spellStart"/>
                              <w:r w:rsidRPr="00BF24F0">
                                <w:t>x</w:t>
                              </w:r>
                              <w:proofErr w:type="spellEnd"/>
                              <w:r w:rsidRPr="00BF24F0">
                                <w:t xml:space="preserve"> 6,5 см (8,5 </w:t>
                              </w:r>
                              <w:proofErr w:type="spellStart"/>
                              <w:r w:rsidRPr="00BF24F0">
                                <w:t>x</w:t>
                              </w:r>
                              <w:proofErr w:type="spellEnd"/>
                              <w:r w:rsidRPr="00BF24F0">
                                <w:t xml:space="preserve"> 1,2 </w:t>
                              </w:r>
                              <w:proofErr w:type="spellStart"/>
                              <w:r w:rsidRPr="00BF24F0">
                                <w:t>x</w:t>
                              </w:r>
                              <w:proofErr w:type="spellEnd"/>
                              <w:r w:rsidRPr="00BF24F0">
                                <w:t xml:space="preserve"> 2,6 дюйма)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Масса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0,37 кг (0,80 фунта)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Тип элементов питания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4 щелочные батареи AA IEC LR6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Ресурс батареи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40 часов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Автоматическое отключение питания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Через 20 минут неактивности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Индикатор низкого уровня заряда батареи.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Подсветка кнопки питания мигает при низком уровне питания (</w:t>
                              </w:r>
                              <w:proofErr w:type="gramStart"/>
                              <w:r w:rsidRPr="00BF24F0">
                                <w:t>обычно</w:t>
                              </w:r>
                              <w:proofErr w:type="gramEnd"/>
                              <w:r w:rsidRPr="00BF24F0">
                                <w:t xml:space="preserve"> если израсходовано 85% мощности)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Высота над уровнем моря при эксплуатации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&lt;2000 м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Электромагнитная среда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EN 61326-1: портативное устройство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Электромагнитная совместимость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CE CISPR 11: группа 2, класс A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vAlign w:val="center"/>
                              <w:hideMark/>
                            </w:tcPr>
                            <w:p w:rsidR="00BF24F0" w:rsidRPr="00BF24F0" w:rsidRDefault="00BF24F0" w:rsidP="00BF24F0"/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В группу 2 входит все оборудование ISM РЧ, в котором радиочастотная энергия в частотном диапазоне от 9 кГц до 400 ГГц преднамеренно генерируется и используется или только используется в виде электромагнитного излучения, индукционной и/или емкостной связи для обработки материалов или с целью осмотра/анализа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vAlign w:val="center"/>
                              <w:hideMark/>
                            </w:tcPr>
                            <w:p w:rsidR="00BF24F0" w:rsidRPr="00BF24F0" w:rsidRDefault="00BF24F0" w:rsidP="00BF24F0"/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Оборудование класса</w:t>
                              </w:r>
                              <w:proofErr w:type="gramStart"/>
                              <w:r w:rsidRPr="00BF24F0">
                                <w:t xml:space="preserve"> А</w:t>
                              </w:r>
                              <w:proofErr w:type="gramEnd"/>
                              <w:r w:rsidRPr="00BF24F0">
                                <w:t xml:space="preserve"> подходит для использования в промышленных условиях и/или для прямого подключения к сети </w:t>
                              </w:r>
                              <w:r w:rsidRPr="00BF24F0">
                                <w:lastRenderedPageBreak/>
                                <w:t>питания низкого напряжения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vAlign w:val="center"/>
                              <w:hideMark/>
                            </w:tcPr>
                            <w:p w:rsidR="00BF24F0" w:rsidRPr="00BF24F0" w:rsidRDefault="00BF24F0" w:rsidP="00BF24F0"/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США FCC Часть 15 Подраздел B — освобождается от лицензирования в качестве испытательного оборудования в соответствии с пунктом 15.103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vAlign w:val="center"/>
                              <w:hideMark/>
                            </w:tcPr>
                            <w:p w:rsidR="00BF24F0" w:rsidRPr="00BF24F0" w:rsidRDefault="00BF24F0" w:rsidP="00BF24F0"/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Корея только оборудование класса A (промышленное передающее оборудование и оборудование для связи)1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 xml:space="preserve">1 Данный прибор соответствует требованиям к промышленному (класс A) оборудованию, работающему с электромагнитными волнами, продавцы и пользователи должны обратить на это внимание. </w:t>
                              </w:r>
                              <w:proofErr w:type="gramStart"/>
                              <w:r w:rsidRPr="00BF24F0">
                                <w:t>Данное оборудование не предназначено для бытового использования, только для коммерческого.</w:t>
                              </w:r>
                              <w:proofErr w:type="gramEnd"/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proofErr w:type="spellStart"/>
                              <w:r w:rsidRPr="00BF24F0">
                                <w:t>Ударопрочность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Выдерживает падение с высоты 2 метра</w:t>
                              </w:r>
                            </w:p>
                          </w:tc>
                        </w:tr>
                        <w:tr w:rsidR="00BF24F0" w:rsidRPr="00BF24F0"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Гарантия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5CDD2"/>
                                <w:left w:val="outset" w:sz="6" w:space="0" w:color="C5CDD2"/>
                                <w:bottom w:val="outset" w:sz="6" w:space="0" w:color="C5CDD2"/>
                                <w:right w:val="outset" w:sz="6" w:space="0" w:color="C5CDD2"/>
                              </w:tcBorders>
                              <w:hideMark/>
                            </w:tcPr>
                            <w:p w:rsidR="00BF24F0" w:rsidRPr="00BF24F0" w:rsidRDefault="00BF24F0" w:rsidP="00BF24F0">
                              <w:r w:rsidRPr="00BF24F0">
                                <w:t>3 года</w:t>
                              </w:r>
                            </w:p>
                          </w:tc>
                        </w:tr>
                      </w:tbl>
                      <w:p w:rsidR="00BF24F0" w:rsidRPr="00BF24F0" w:rsidRDefault="00BF24F0" w:rsidP="00BF24F0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Lucida Sans" w:eastAsia="Times New Roman" w:hAnsi="Lucida Sans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F24F0" w:rsidRPr="00BF24F0" w:rsidRDefault="00BF24F0" w:rsidP="00BF24F0">
                  <w:pPr>
                    <w:widowControl/>
                    <w:autoSpaceDE/>
                    <w:autoSpaceDN/>
                    <w:adjustRightInd/>
                    <w:rPr>
                      <w:rFonts w:ascii="Lucida Sans" w:eastAsia="Times New Roman" w:hAnsi="Lucida Sans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F24F0" w:rsidRPr="00BF24F0" w:rsidRDefault="00BF24F0" w:rsidP="00BF24F0">
            <w:pPr>
              <w:widowControl/>
              <w:autoSpaceDE/>
              <w:autoSpaceDN/>
              <w:adjustRightInd/>
              <w:rPr>
                <w:rFonts w:ascii="Lucida Sans" w:eastAsia="Times New Roman" w:hAnsi="Lucida San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BF24F0" w:rsidRPr="00BF24F0" w:rsidRDefault="00BF24F0" w:rsidP="00BF24F0">
            <w:pPr>
              <w:widowControl/>
              <w:autoSpaceDE/>
              <w:autoSpaceDN/>
              <w:adjustRightInd/>
              <w:rPr>
                <w:rFonts w:ascii="Lucida Sans" w:eastAsia="Times New Roman" w:hAnsi="Lucida Sans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F24F0" w:rsidRPr="00BF24F0" w:rsidRDefault="00BF24F0" w:rsidP="00BF24F0">
      <w:pPr>
        <w:widowControl/>
        <w:autoSpaceDE/>
        <w:autoSpaceDN/>
        <w:adjustRightInd/>
        <w:rPr>
          <w:rFonts w:eastAsia="Times New Roman"/>
          <w:vanish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</w:tblGrid>
      <w:tr w:rsidR="00BF24F0" w:rsidRPr="00BF24F0" w:rsidTr="00BF24F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4F0" w:rsidRPr="00BF24F0" w:rsidRDefault="00BF24F0" w:rsidP="00BF24F0">
            <w:pPr>
              <w:widowControl/>
              <w:autoSpaceDE/>
              <w:autoSpaceDN/>
              <w:adjustRightInd/>
              <w:rPr>
                <w:rFonts w:ascii="Lucida Sans" w:eastAsia="Times New Roman" w:hAnsi="Lucida Sans"/>
                <w:color w:val="000000"/>
                <w:sz w:val="18"/>
                <w:szCs w:val="18"/>
                <w:lang w:eastAsia="ru-RU"/>
              </w:rPr>
            </w:pPr>
            <w:r w:rsidRPr="00BF24F0">
              <w:rPr>
                <w:rFonts w:ascii="Lucida Sans" w:eastAsia="Times New Roman" w:hAnsi="Lucida Sans"/>
                <w:color w:val="000000"/>
                <w:sz w:val="18"/>
                <w:szCs w:val="18"/>
                <w:lang w:eastAsia="ru-RU"/>
              </w:rPr>
              <w:br/>
            </w:r>
          </w:p>
        </w:tc>
      </w:tr>
    </w:tbl>
    <w:p w:rsidR="00CC7DB1" w:rsidRDefault="00CC7DB1"/>
    <w:sectPr w:rsidR="00CC7DB1" w:rsidSect="00CC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A"/>
    <w:multiLevelType w:val="multilevel"/>
    <w:tmpl w:val="0000009A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4F0"/>
    <w:rsid w:val="00002B69"/>
    <w:rsid w:val="00004FA2"/>
    <w:rsid w:val="00012D7D"/>
    <w:rsid w:val="000144C9"/>
    <w:rsid w:val="00044D14"/>
    <w:rsid w:val="000502EC"/>
    <w:rsid w:val="000A5C0D"/>
    <w:rsid w:val="000C4E34"/>
    <w:rsid w:val="00104432"/>
    <w:rsid w:val="001059E8"/>
    <w:rsid w:val="001159CE"/>
    <w:rsid w:val="00145905"/>
    <w:rsid w:val="00161B80"/>
    <w:rsid w:val="00164629"/>
    <w:rsid w:val="00166955"/>
    <w:rsid w:val="001B09AD"/>
    <w:rsid w:val="001B216C"/>
    <w:rsid w:val="001C3AF2"/>
    <w:rsid w:val="00202869"/>
    <w:rsid w:val="0021046A"/>
    <w:rsid w:val="00223C8D"/>
    <w:rsid w:val="002520F2"/>
    <w:rsid w:val="0028102A"/>
    <w:rsid w:val="00284823"/>
    <w:rsid w:val="0028713F"/>
    <w:rsid w:val="0029422F"/>
    <w:rsid w:val="00316472"/>
    <w:rsid w:val="00344468"/>
    <w:rsid w:val="003538F3"/>
    <w:rsid w:val="0036375B"/>
    <w:rsid w:val="003A3AC6"/>
    <w:rsid w:val="003C2156"/>
    <w:rsid w:val="003F2491"/>
    <w:rsid w:val="00401011"/>
    <w:rsid w:val="004218FA"/>
    <w:rsid w:val="004252AB"/>
    <w:rsid w:val="00441BE3"/>
    <w:rsid w:val="00455468"/>
    <w:rsid w:val="00456969"/>
    <w:rsid w:val="004A46DC"/>
    <w:rsid w:val="004B272E"/>
    <w:rsid w:val="005119FA"/>
    <w:rsid w:val="005339E8"/>
    <w:rsid w:val="005346A0"/>
    <w:rsid w:val="00541806"/>
    <w:rsid w:val="00547871"/>
    <w:rsid w:val="00552A92"/>
    <w:rsid w:val="00576BB0"/>
    <w:rsid w:val="00587F19"/>
    <w:rsid w:val="005D67DC"/>
    <w:rsid w:val="005E69FD"/>
    <w:rsid w:val="005F356A"/>
    <w:rsid w:val="005F4FB4"/>
    <w:rsid w:val="005F7A18"/>
    <w:rsid w:val="00602DBE"/>
    <w:rsid w:val="00611046"/>
    <w:rsid w:val="00613FDF"/>
    <w:rsid w:val="00634650"/>
    <w:rsid w:val="00661C79"/>
    <w:rsid w:val="006974BE"/>
    <w:rsid w:val="0070654D"/>
    <w:rsid w:val="00752D58"/>
    <w:rsid w:val="00754FB2"/>
    <w:rsid w:val="00765B5D"/>
    <w:rsid w:val="007835BC"/>
    <w:rsid w:val="00791918"/>
    <w:rsid w:val="007B4BAF"/>
    <w:rsid w:val="00805000"/>
    <w:rsid w:val="008070E6"/>
    <w:rsid w:val="0082055D"/>
    <w:rsid w:val="0082255F"/>
    <w:rsid w:val="00837B51"/>
    <w:rsid w:val="00881ACE"/>
    <w:rsid w:val="008B160A"/>
    <w:rsid w:val="008D43BA"/>
    <w:rsid w:val="008D6972"/>
    <w:rsid w:val="008E39FE"/>
    <w:rsid w:val="008E5966"/>
    <w:rsid w:val="00946EB4"/>
    <w:rsid w:val="0095252D"/>
    <w:rsid w:val="009C295E"/>
    <w:rsid w:val="009E37BB"/>
    <w:rsid w:val="009E38A7"/>
    <w:rsid w:val="009F14DA"/>
    <w:rsid w:val="009F17F2"/>
    <w:rsid w:val="009F1DCE"/>
    <w:rsid w:val="009F6FC4"/>
    <w:rsid w:val="00A13126"/>
    <w:rsid w:val="00A3767F"/>
    <w:rsid w:val="00A40FCB"/>
    <w:rsid w:val="00A51306"/>
    <w:rsid w:val="00A81518"/>
    <w:rsid w:val="00AA18CE"/>
    <w:rsid w:val="00AA2E56"/>
    <w:rsid w:val="00AB4CBD"/>
    <w:rsid w:val="00AF2C88"/>
    <w:rsid w:val="00AF3F7E"/>
    <w:rsid w:val="00AF42F4"/>
    <w:rsid w:val="00B75D3D"/>
    <w:rsid w:val="00BA556B"/>
    <w:rsid w:val="00BC6D23"/>
    <w:rsid w:val="00BE64D7"/>
    <w:rsid w:val="00BF24F0"/>
    <w:rsid w:val="00BF41B8"/>
    <w:rsid w:val="00C0155B"/>
    <w:rsid w:val="00C01F55"/>
    <w:rsid w:val="00C03720"/>
    <w:rsid w:val="00C51FB5"/>
    <w:rsid w:val="00C55EB9"/>
    <w:rsid w:val="00C67B61"/>
    <w:rsid w:val="00C7598A"/>
    <w:rsid w:val="00CA24C3"/>
    <w:rsid w:val="00CB5ADA"/>
    <w:rsid w:val="00CC7DB1"/>
    <w:rsid w:val="00CD2E7F"/>
    <w:rsid w:val="00D3013E"/>
    <w:rsid w:val="00D31B1A"/>
    <w:rsid w:val="00D417DB"/>
    <w:rsid w:val="00D70952"/>
    <w:rsid w:val="00DE3D81"/>
    <w:rsid w:val="00DE6354"/>
    <w:rsid w:val="00E241AB"/>
    <w:rsid w:val="00E32CC7"/>
    <w:rsid w:val="00E60234"/>
    <w:rsid w:val="00E65D2D"/>
    <w:rsid w:val="00ED296F"/>
    <w:rsid w:val="00ED606E"/>
    <w:rsid w:val="00F26F5B"/>
    <w:rsid w:val="00F36AF3"/>
    <w:rsid w:val="00F40BD0"/>
    <w:rsid w:val="00F43863"/>
    <w:rsid w:val="00F837E6"/>
    <w:rsid w:val="00FD726C"/>
    <w:rsid w:val="00FF51A8"/>
    <w:rsid w:val="00FF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9"/>
    <w:pPr>
      <w:widowControl w:val="0"/>
      <w:autoSpaceDE w:val="0"/>
      <w:autoSpaceDN w:val="0"/>
      <w:adjustRightInd w:val="0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qFormat/>
    <w:rsid w:val="00AB4C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C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BF24F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F24F0"/>
    <w:rPr>
      <w:b/>
      <w:bCs/>
    </w:rPr>
  </w:style>
  <w:style w:type="character" w:customStyle="1" w:styleId="apple-converted-space">
    <w:name w:val="apple-converted-space"/>
    <w:basedOn w:val="a0"/>
    <w:rsid w:val="00BF2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2014-09-09T11:47:00Z</dcterms:created>
  <dcterms:modified xsi:type="dcterms:W3CDTF">2014-09-09T11:49:00Z</dcterms:modified>
</cp:coreProperties>
</file>